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755F6" w14:textId="4A44B2C4" w:rsidR="00DC6DBE" w:rsidRDefault="00DC6DBE" w:rsidP="00DC6DBE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noProof/>
          <w:color w:val="26282A"/>
          <w:sz w:val="24"/>
          <w:szCs w:val="24"/>
          <w:shd w:val="clear" w:color="auto" w:fill="FFFFFF"/>
          <w:lang w:eastAsia="en-GB"/>
        </w:rPr>
        <w:drawing>
          <wp:inline distT="0" distB="0" distL="0" distR="0" wp14:anchorId="488AF46D" wp14:editId="2BB44549">
            <wp:extent cx="3781019" cy="2520680"/>
            <wp:effectExtent l="0" t="0" r="0" b="0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019" cy="252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10525" w14:textId="49985742" w:rsidR="00DC6DBE" w:rsidRDefault="00DC6DBE" w:rsidP="001673FF">
      <w:pPr>
        <w:spacing w:before="100" w:beforeAutospacing="1" w:after="100" w:afterAutospacing="1" w:line="240" w:lineRule="auto"/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</w:pP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Hi</w:t>
      </w: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 xml:space="preserve">, </w:t>
      </w: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I</w:t>
      </w: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’</w:t>
      </w: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m Ahmad Khouja and</w:t>
      </w: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 xml:space="preserve"> </w:t>
      </w: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 xml:space="preserve">I am leading </w:t>
      </w: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the</w:t>
      </w: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 xml:space="preserve"> develop</w:t>
      </w: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ment of</w:t>
      </w: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 xml:space="preserve"> the Trust’s clinical </w:t>
      </w:r>
      <w:r w:rsidR="00466816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journey</w:t>
      </w: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 xml:space="preserve">. The clinical </w:t>
      </w:r>
      <w:r w:rsidR="009748D1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journey</w:t>
      </w: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 xml:space="preserve"> describes what it is we are aiming for when we redesign our services, and how we get there. By having it clearly stated, it </w:t>
      </w: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 xml:space="preserve">helps us to </w:t>
      </w: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 xml:space="preserve">avoid doing things which would undermine or delay us </w:t>
      </w: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 xml:space="preserve">while we try to </w:t>
      </w: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mak</w:t>
      </w: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e</w:t>
      </w: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 xml:space="preserve"> that vision a reality.  </w:t>
      </w:r>
    </w:p>
    <w:p w14:paraId="1964C07E" w14:textId="6D2842B8" w:rsidR="00DC6DBE" w:rsidRDefault="00DC6DBE" w:rsidP="001673FF">
      <w:pPr>
        <w:spacing w:before="100" w:beforeAutospacing="1" w:after="100" w:afterAutospacing="1" w:line="240" w:lineRule="auto"/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</w:pP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However, I need your help.  I have looked at all the previous feedback, comments</w:t>
      </w: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,</w:t>
      </w: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 xml:space="preserve"> and suggestions we have had about how our services need to change.  This is great, but I </w:t>
      </w: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still</w:t>
      </w: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 xml:space="preserve"> have some key questions that I would really value your views and ideas on.  This will help shape a draft clinical </w:t>
      </w:r>
      <w:r w:rsidR="009748D1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journey</w:t>
      </w:r>
      <w:r w:rsidRPr="0070385E"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 xml:space="preserve"> which we will put out for wider consultation. </w:t>
      </w:r>
    </w:p>
    <w:p w14:paraId="5D614827" w14:textId="2B83961E" w:rsidR="00DC6DBE" w:rsidRDefault="00DC6DBE" w:rsidP="001673FF">
      <w:pPr>
        <w:spacing w:before="100" w:beforeAutospacing="1" w:after="100" w:afterAutospacing="1" w:line="240" w:lineRule="auto"/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To help us plan our way forward you can share your views in the following ways:</w:t>
      </w:r>
    </w:p>
    <w:p w14:paraId="7222C474" w14:textId="7AAB2F0A" w:rsidR="00DC6DBE" w:rsidRDefault="00DC6DBE" w:rsidP="001673FF">
      <w:pPr>
        <w:spacing w:before="100" w:beforeAutospacing="1" w:after="100" w:afterAutospacing="1" w:line="240" w:lineRule="auto"/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Click on this link or copy and paste it into your browser-</w:t>
      </w:r>
      <w:hyperlink r:id="rId6" w:history="1">
        <w:r w:rsidR="001673FF" w:rsidRPr="001673FF">
          <w:rPr>
            <w:rFonts w:ascii="Calibri" w:eastAsia="Calibri" w:hAnsi="Calibri" w:cs="Times New Roman"/>
            <w:color w:val="0000FF"/>
            <w:u w:val="single"/>
          </w:rPr>
          <w:t>https://tewvbigconversation.org</w:t>
        </w:r>
      </w:hyperlink>
    </w:p>
    <w:p w14:paraId="3174F758" w14:textId="51692FB6" w:rsidR="00DC6DBE" w:rsidRDefault="00DC6DBE" w:rsidP="001673FF">
      <w:pPr>
        <w:spacing w:before="100" w:beforeAutospacing="1" w:after="100" w:afterAutospacing="1" w:line="240" w:lineRule="auto"/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Write your answers on this document and send it to this Freepost address-</w:t>
      </w:r>
    </w:p>
    <w:p w14:paraId="4B5848AF" w14:textId="0F2CACE3" w:rsidR="009748D1" w:rsidRDefault="009748D1" w:rsidP="001673FF">
      <w:pPr>
        <w:spacing w:before="100" w:beforeAutospacing="1" w:after="100" w:afterAutospacing="1" w:line="240" w:lineRule="auto"/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Let’s talk</w:t>
      </w:r>
    </w:p>
    <w:p w14:paraId="60163C77" w14:textId="50DD35E3" w:rsidR="009748D1" w:rsidRDefault="009748D1" w:rsidP="001673FF">
      <w:pPr>
        <w:spacing w:before="100" w:beforeAutospacing="1" w:after="100" w:afterAutospacing="1" w:line="240" w:lineRule="auto"/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FREEPOST TEWV</w:t>
      </w:r>
    </w:p>
    <w:p w14:paraId="05F18A1C" w14:textId="77777777" w:rsidR="001673FF" w:rsidRDefault="001673FF" w:rsidP="00DC6DBE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</w:pPr>
    </w:p>
    <w:p w14:paraId="7C7C33CB" w14:textId="3FBF75B2" w:rsidR="00DC6DBE" w:rsidRDefault="00DC6DBE" w:rsidP="001673FF">
      <w:pPr>
        <w:spacing w:before="100" w:beforeAutospacing="1" w:after="100" w:afterAutospacing="1" w:line="240" w:lineRule="auto"/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color w:val="26282A"/>
          <w:sz w:val="24"/>
          <w:szCs w:val="24"/>
          <w:shd w:val="clear" w:color="auto" w:fill="FFFFFF"/>
          <w:lang w:eastAsia="en-GB"/>
        </w:rPr>
        <w:t>Write your answers on this document, scan it and send it to-</w:t>
      </w:r>
      <w:hyperlink r:id="rId7" w:history="1">
        <w:r w:rsidR="001673FF" w:rsidRPr="001673FF">
          <w:rPr>
            <w:rFonts w:ascii="Calibri" w:eastAsia="Calibri" w:hAnsi="Calibri" w:cs="Times New Roman"/>
            <w:color w:val="0000FF"/>
            <w:u w:val="single"/>
          </w:rPr>
          <w:t>tewv.bigconversation@nhs.net</w:t>
        </w:r>
      </w:hyperlink>
    </w:p>
    <w:p w14:paraId="36746CED" w14:textId="77777777" w:rsidR="00DC6DBE" w:rsidRPr="0070385E" w:rsidRDefault="00DC6DBE" w:rsidP="00DC6DBE">
      <w:pPr>
        <w:spacing w:before="100" w:beforeAutospacing="1" w:after="100" w:afterAutospacing="1" w:line="240" w:lineRule="auto"/>
        <w:jc w:val="both"/>
        <w:rPr>
          <w:rFonts w:ascii="Helvetica" w:eastAsia="Calibri" w:hAnsi="Helvetica" w:cs="Helvetica"/>
          <w:color w:val="26282A"/>
          <w:sz w:val="20"/>
          <w:szCs w:val="20"/>
          <w:lang w:eastAsia="en-GB"/>
        </w:rPr>
      </w:pPr>
    </w:p>
    <w:p w14:paraId="3B25E048" w14:textId="597BDDEF" w:rsidR="00DC6DBE" w:rsidRPr="0070385E" w:rsidRDefault="00DC6DBE" w:rsidP="00DC6DBE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n-GB"/>
        </w:rPr>
      </w:pPr>
    </w:p>
    <w:p w14:paraId="3719ECEB" w14:textId="77777777" w:rsidR="00DC6DBE" w:rsidRPr="0070385E" w:rsidRDefault="00DC6DBE" w:rsidP="00DC6DBE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Helvetica" w:eastAsia="Times New Roman" w:hAnsi="Helvetica" w:cs="Helvetica"/>
          <w:b/>
          <w:bCs/>
          <w:color w:val="26282A"/>
          <w:sz w:val="20"/>
          <w:szCs w:val="20"/>
          <w:shd w:val="clear" w:color="auto" w:fill="FFFFFF"/>
          <w:lang w:eastAsia="en-GB"/>
        </w:rPr>
        <w:t>It is important we get right the principles of how we provide care.  Some of the important ones that have come through to date are</w:t>
      </w:r>
      <w:r>
        <w:rPr>
          <w:rFonts w:ascii="Helvetica" w:eastAsia="Times New Roman" w:hAnsi="Helvetica" w:cs="Helvetica"/>
          <w:b/>
          <w:bCs/>
          <w:color w:val="26282A"/>
          <w:sz w:val="20"/>
          <w:szCs w:val="20"/>
          <w:shd w:val="clear" w:color="auto" w:fill="FFFFFF"/>
          <w:lang w:eastAsia="en-GB"/>
        </w:rPr>
        <w:t xml:space="preserve"> in these areas:</w:t>
      </w:r>
    </w:p>
    <w:p w14:paraId="78A2C723" w14:textId="77777777" w:rsidR="00DC6DBE" w:rsidRPr="0070385E" w:rsidRDefault="00DC6DBE" w:rsidP="00DC6DBE">
      <w:pPr>
        <w:numPr>
          <w:ilvl w:val="0"/>
          <w:numId w:val="2"/>
        </w:numPr>
        <w:spacing w:before="100" w:beforeAutospacing="1" w:after="100" w:afterAutospacing="1"/>
        <w:ind w:left="1080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en-GB"/>
        </w:rPr>
        <w:t>always working together and in partnership, including shared decision-making</w:t>
      </w:r>
    </w:p>
    <w:p w14:paraId="17BE8CC4" w14:textId="77777777" w:rsidR="00DC6DBE" w:rsidRPr="0070385E" w:rsidRDefault="00DC6DBE" w:rsidP="00DC6DBE">
      <w:pPr>
        <w:numPr>
          <w:ilvl w:val="0"/>
          <w:numId w:val="2"/>
        </w:numPr>
        <w:spacing w:before="100" w:beforeAutospacing="1" w:after="100" w:afterAutospacing="1"/>
        <w:ind w:left="1080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en-GB"/>
        </w:rPr>
        <w:lastRenderedPageBreak/>
        <w:t>being aware of people’s trauma (past and current), and not adding to it</w:t>
      </w:r>
    </w:p>
    <w:p w14:paraId="042B0935" w14:textId="77777777" w:rsidR="00DC6DBE" w:rsidRPr="0070385E" w:rsidRDefault="00DC6DBE" w:rsidP="00DC6DBE">
      <w:pPr>
        <w:numPr>
          <w:ilvl w:val="0"/>
          <w:numId w:val="2"/>
        </w:numPr>
        <w:spacing w:before="100" w:beforeAutospacing="1" w:after="100" w:afterAutospacing="1"/>
        <w:ind w:left="1080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en-GB"/>
        </w:rPr>
        <w:t>being more focussed on meeting person’s individual goals</w:t>
      </w:r>
    </w:p>
    <w:p w14:paraId="020CED1B" w14:textId="77777777" w:rsidR="00DC6DBE" w:rsidRPr="0070385E" w:rsidRDefault="00DC6DBE" w:rsidP="00DC6DBE">
      <w:pPr>
        <w:numPr>
          <w:ilvl w:val="0"/>
          <w:numId w:val="2"/>
        </w:numPr>
        <w:spacing w:before="100" w:beforeAutospacing="1" w:after="100" w:afterAutospacing="1"/>
        <w:ind w:left="1080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en-GB"/>
        </w:rPr>
        <w:t>involving the people important in the person’s life much more</w:t>
      </w:r>
    </w:p>
    <w:p w14:paraId="44F0D6C9" w14:textId="77777777" w:rsidR="00DC6DBE" w:rsidRPr="0070385E" w:rsidRDefault="00DC6DBE" w:rsidP="00DC6DBE">
      <w:pPr>
        <w:numPr>
          <w:ilvl w:val="0"/>
          <w:numId w:val="2"/>
        </w:numPr>
        <w:spacing w:before="100" w:beforeAutospacing="1" w:after="100" w:afterAutospacing="1"/>
        <w:ind w:left="1080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en-GB"/>
        </w:rPr>
        <w:t>always being able to offer choice over evidence-based interventions</w:t>
      </w:r>
    </w:p>
    <w:p w14:paraId="666CBCC7" w14:textId="77777777" w:rsidR="00DC6DBE" w:rsidRPr="0070385E" w:rsidRDefault="00DC6DBE" w:rsidP="00DC6DBE">
      <w:pPr>
        <w:spacing w:before="100" w:beforeAutospacing="1" w:after="100" w:afterAutospacing="1" w:line="240" w:lineRule="auto"/>
        <w:ind w:firstLine="720"/>
        <w:rPr>
          <w:rFonts w:ascii="Helvetica" w:eastAsia="Calibri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Arial" w:eastAsia="Calibri" w:hAnsi="Arial" w:cs="Arial"/>
          <w:b/>
          <w:bCs/>
          <w:color w:val="26282A"/>
          <w:sz w:val="24"/>
          <w:szCs w:val="24"/>
          <w:shd w:val="clear" w:color="auto" w:fill="FFFFFF"/>
          <w:lang w:eastAsia="en-GB"/>
        </w:rPr>
        <w:t xml:space="preserve">Do you agree?  What else should we include? </w:t>
      </w:r>
    </w:p>
    <w:p w14:paraId="74931461" w14:textId="77777777" w:rsidR="00DC6DBE" w:rsidRPr="0070385E" w:rsidRDefault="00DC6DBE" w:rsidP="00DC6DBE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Arial" w:eastAsia="Calibri" w:hAnsi="Arial" w:cs="Arial"/>
          <w:color w:val="26282A"/>
          <w:sz w:val="24"/>
          <w:szCs w:val="24"/>
          <w:lang w:eastAsia="en-GB"/>
        </w:rPr>
        <w:t> </w:t>
      </w:r>
    </w:p>
    <w:p w14:paraId="4981B144" w14:textId="77777777" w:rsidR="00DC6DBE" w:rsidRPr="0070385E" w:rsidRDefault="00DC6DBE" w:rsidP="00DC6D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GB"/>
        </w:rPr>
        <w:t xml:space="preserve">Will we always need hospitals, or are there other ways we can support people in the community or their own homes? </w:t>
      </w:r>
    </w:p>
    <w:p w14:paraId="0F7A6A6D" w14:textId="77777777" w:rsidR="00DC6DBE" w:rsidRPr="0070385E" w:rsidRDefault="00DC6DBE" w:rsidP="00DC6DBE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What would that alternative look like?</w:t>
      </w:r>
    </w:p>
    <w:p w14:paraId="6651A093" w14:textId="77777777" w:rsidR="00DC6DBE" w:rsidRPr="0070385E" w:rsidRDefault="00DC6DBE" w:rsidP="00DC6DBE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How could we use technology to achieve this?</w:t>
      </w:r>
    </w:p>
    <w:p w14:paraId="648A2475" w14:textId="77777777" w:rsidR="00DC6DBE" w:rsidRPr="0070385E" w:rsidRDefault="00DC6DBE" w:rsidP="00DC6DBE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Arial" w:eastAsia="Calibri" w:hAnsi="Arial" w:cs="Arial"/>
          <w:color w:val="26282A"/>
          <w:sz w:val="24"/>
          <w:szCs w:val="24"/>
          <w:lang w:eastAsia="en-GB"/>
        </w:rPr>
        <w:t> </w:t>
      </w:r>
    </w:p>
    <w:p w14:paraId="22A57C6A" w14:textId="77777777" w:rsidR="00DC6DBE" w:rsidRPr="0070385E" w:rsidRDefault="00DC6DBE" w:rsidP="00DC6D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GB"/>
        </w:rPr>
        <w:t>How could we play a part in supporting those aspects of people’s lives which we know impacts on health and well-being (such as where they live, jobs, education, benefits)?</w:t>
      </w:r>
    </w:p>
    <w:p w14:paraId="41A2B52A" w14:textId="77777777" w:rsidR="00DC6DBE" w:rsidRPr="0070385E" w:rsidRDefault="00DC6DBE" w:rsidP="00DC6DBE">
      <w:pPr>
        <w:numPr>
          <w:ilvl w:val="0"/>
          <w:numId w:val="6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Do you think we should play a bigger role in the prevention of problems developing?  How could we do this?  </w:t>
      </w:r>
    </w:p>
    <w:p w14:paraId="1A0CF11D" w14:textId="77777777" w:rsidR="00DC6DBE" w:rsidRPr="0070385E" w:rsidRDefault="00DC6DBE" w:rsidP="00DC6DBE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Arial" w:eastAsia="Calibri" w:hAnsi="Arial" w:cs="Arial"/>
          <w:color w:val="26282A"/>
          <w:sz w:val="20"/>
          <w:szCs w:val="20"/>
          <w:lang w:eastAsia="en-GB"/>
        </w:rPr>
        <w:t> </w:t>
      </w:r>
    </w:p>
    <w:p w14:paraId="7D8AABBD" w14:textId="77777777" w:rsidR="00DC6DBE" w:rsidRPr="0070385E" w:rsidRDefault="00DC6DBE" w:rsidP="00DC6D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GB"/>
        </w:rPr>
        <w:t xml:space="preserve">What are </w:t>
      </w:r>
      <w:r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GB"/>
        </w:rPr>
        <w:t>the</w:t>
      </w:r>
      <w:r w:rsidRPr="0070385E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GB"/>
        </w:rPr>
        <w:t xml:space="preserve"> current strengths that we should build on?</w:t>
      </w:r>
    </w:p>
    <w:p w14:paraId="4BEB796E" w14:textId="77777777" w:rsidR="00DC6DBE" w:rsidRPr="0070385E" w:rsidRDefault="00DC6DBE" w:rsidP="00DC6DBE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When we get things right, we can make a real difference.  What else do we need to do?</w:t>
      </w:r>
    </w:p>
    <w:p w14:paraId="239E4FE6" w14:textId="77777777" w:rsidR="00DC6DBE" w:rsidRPr="0070385E" w:rsidRDefault="00DC6DBE" w:rsidP="00DC6DBE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Arial" w:eastAsia="Calibri" w:hAnsi="Arial" w:cs="Arial"/>
          <w:color w:val="26282A"/>
          <w:sz w:val="20"/>
          <w:szCs w:val="20"/>
          <w:lang w:eastAsia="en-GB"/>
        </w:rPr>
        <w:t> </w:t>
      </w:r>
    </w:p>
    <w:p w14:paraId="0B6BE35B" w14:textId="77777777" w:rsidR="00DC6DBE" w:rsidRPr="0070385E" w:rsidRDefault="00DC6DBE" w:rsidP="00DC6DBE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n-GB"/>
        </w:rPr>
      </w:pPr>
      <w:r w:rsidRPr="0070385E">
        <w:rPr>
          <w:rFonts w:ascii="Arial" w:eastAsia="Calibri" w:hAnsi="Arial" w:cs="Arial"/>
          <w:color w:val="26282A"/>
          <w:sz w:val="20"/>
          <w:szCs w:val="20"/>
          <w:lang w:eastAsia="en-GB"/>
        </w:rPr>
        <w:t> </w:t>
      </w:r>
    </w:p>
    <w:p w14:paraId="44FDC165" w14:textId="77777777" w:rsidR="00DC6DBE" w:rsidRDefault="00DC6DBE" w:rsidP="00DC6DBE"/>
    <w:p w14:paraId="703870B7" w14:textId="77777777" w:rsidR="005A6B81" w:rsidRDefault="005A6B81"/>
    <w:sectPr w:rsidR="005A6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80E"/>
    <w:multiLevelType w:val="multilevel"/>
    <w:tmpl w:val="8274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A629ED"/>
    <w:multiLevelType w:val="multilevel"/>
    <w:tmpl w:val="676A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787056"/>
    <w:multiLevelType w:val="multilevel"/>
    <w:tmpl w:val="A128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7306FB"/>
    <w:multiLevelType w:val="multilevel"/>
    <w:tmpl w:val="0E88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8200FD"/>
    <w:multiLevelType w:val="multilevel"/>
    <w:tmpl w:val="21D42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03FF4"/>
    <w:multiLevelType w:val="multilevel"/>
    <w:tmpl w:val="71347A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B1617"/>
    <w:multiLevelType w:val="multilevel"/>
    <w:tmpl w:val="2544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C43750"/>
    <w:multiLevelType w:val="multilevel"/>
    <w:tmpl w:val="6EDC6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6DBE"/>
    <w:rsid w:val="001673FF"/>
    <w:rsid w:val="00451E93"/>
    <w:rsid w:val="00466816"/>
    <w:rsid w:val="005A6B81"/>
    <w:rsid w:val="00831AD5"/>
    <w:rsid w:val="009748D1"/>
    <w:rsid w:val="00AA41FE"/>
    <w:rsid w:val="00D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E052"/>
  <w15:chartTrackingRefBased/>
  <w15:docId w15:val="{3E6E7968-3F89-49F2-A017-58B8E1C8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wv.bigconversation@nhs.ne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wvbigconversation.or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0DF5C-48A4-4840-97D0-245739962182}"/>
</file>

<file path=customXml/itemProps2.xml><?xml version="1.0" encoding="utf-8"?>
<ds:datastoreItem xmlns:ds="http://schemas.openxmlformats.org/officeDocument/2006/customXml" ds:itemID="{F3B78E1A-9912-4545-88B8-9502D7F48DB8}"/>
</file>

<file path=customXml/itemProps3.xml><?xml version="1.0" encoding="utf-8"?>
<ds:datastoreItem xmlns:ds="http://schemas.openxmlformats.org/officeDocument/2006/customXml" ds:itemID="{08065531-ECF3-4E5D-BA71-8414C97C5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PARKINSON, Edward (TEES, ESK AND WEAR VALLEYS NHS FOUNDATION TRUST)</dc:creator>
  <cp:keywords/>
  <dc:description/>
  <cp:lastModifiedBy>PARKINSON, Edward (TEES, ESK AND WEAR VALLEYS NHS FOUNDATION TRUST)</cp:lastModifiedBy>
  <cp:revision>4</cp:revision>
  <dcterms:created xsi:type="dcterms:W3CDTF">2022-01-14T08:54:00Z</dcterms:created>
  <dcterms:modified xsi:type="dcterms:W3CDTF">2022-01-17T10:47:00Z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</Properties>
</file>